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1ABE3" w14:textId="77777777" w:rsidR="002E7B6C" w:rsidRDefault="002E7B6C">
      <w:pPr>
        <w:pBdr>
          <w:top w:val="nil"/>
          <w:left w:val="nil"/>
          <w:bottom w:val="nil"/>
          <w:right w:val="nil"/>
          <w:between w:val="nil"/>
        </w:pBdr>
        <w:ind w:left="396" w:hanging="396"/>
        <w:rPr>
          <w:rFonts w:ascii="Arial" w:eastAsia="Arial" w:hAnsi="Arial" w:cs="Arial"/>
          <w:color w:val="000000"/>
          <w:sz w:val="22"/>
          <w:szCs w:val="22"/>
        </w:rPr>
      </w:pPr>
    </w:p>
    <w:p w14:paraId="694BF97B" w14:textId="77777777" w:rsidR="002E7B6C" w:rsidRDefault="003F3E55">
      <w:pPr>
        <w:pBdr>
          <w:top w:val="nil"/>
          <w:left w:val="nil"/>
          <w:bottom w:val="nil"/>
          <w:right w:val="nil"/>
          <w:between w:val="nil"/>
        </w:pBdr>
        <w:ind w:left="396" w:hanging="396"/>
        <w:rPr>
          <w:rFonts w:ascii="Arial" w:eastAsia="Arial" w:hAnsi="Arial" w:cs="Arial"/>
          <w:color w:val="000000"/>
          <w:sz w:val="22"/>
          <w:szCs w:val="22"/>
        </w:rPr>
      </w:pPr>
      <w:r>
        <w:rPr>
          <w:rFonts w:ascii="Arial" w:eastAsia="Arial" w:hAnsi="Arial" w:cs="Arial"/>
          <w:color w:val="000000"/>
          <w:sz w:val="22"/>
          <w:szCs w:val="22"/>
        </w:rPr>
        <w:t>Příloha č. 2</w:t>
      </w:r>
      <w:r>
        <w:rPr>
          <w:rFonts w:ascii="Arial" w:eastAsia="Arial" w:hAnsi="Arial" w:cs="Arial"/>
          <w:color w:val="000000"/>
          <w:sz w:val="22"/>
          <w:szCs w:val="22"/>
        </w:rPr>
        <w:tab/>
        <w:t>- Tříděný komunální odpad</w:t>
      </w:r>
    </w:p>
    <w:p w14:paraId="22AED19B" w14:textId="77777777" w:rsidR="002E7B6C" w:rsidRDefault="002E7B6C">
      <w:pPr>
        <w:pBdr>
          <w:top w:val="nil"/>
          <w:left w:val="nil"/>
          <w:bottom w:val="nil"/>
          <w:right w:val="nil"/>
          <w:between w:val="nil"/>
        </w:pBdr>
        <w:ind w:left="396" w:hanging="396"/>
        <w:rPr>
          <w:rFonts w:ascii="Arial" w:eastAsia="Arial" w:hAnsi="Arial" w:cs="Arial"/>
          <w:b/>
          <w:color w:val="000000"/>
          <w:sz w:val="22"/>
          <w:szCs w:val="22"/>
        </w:rPr>
      </w:pPr>
    </w:p>
    <w:p w14:paraId="27ABECB2" w14:textId="77777777" w:rsidR="002E7B6C" w:rsidRDefault="002E7B6C">
      <w:pPr>
        <w:pBdr>
          <w:top w:val="nil"/>
          <w:left w:val="nil"/>
          <w:bottom w:val="nil"/>
          <w:right w:val="nil"/>
          <w:between w:val="nil"/>
        </w:pBdr>
        <w:ind w:left="396" w:hanging="396"/>
        <w:jc w:val="center"/>
        <w:rPr>
          <w:rFonts w:ascii="Arial" w:eastAsia="Arial" w:hAnsi="Arial" w:cs="Arial"/>
          <w:b/>
          <w:color w:val="000000"/>
          <w:sz w:val="28"/>
          <w:szCs w:val="28"/>
        </w:rPr>
      </w:pPr>
    </w:p>
    <w:p w14:paraId="09A423C9" w14:textId="77777777" w:rsidR="002E7B6C" w:rsidRDefault="003F3E55">
      <w:pPr>
        <w:pBdr>
          <w:top w:val="nil"/>
          <w:left w:val="nil"/>
          <w:bottom w:val="nil"/>
          <w:right w:val="nil"/>
          <w:between w:val="nil"/>
        </w:pBdr>
        <w:ind w:left="396" w:hanging="396"/>
        <w:jc w:val="center"/>
        <w:rPr>
          <w:rFonts w:ascii="Arial" w:eastAsia="Arial" w:hAnsi="Arial" w:cs="Arial"/>
          <w:color w:val="000000"/>
          <w:sz w:val="28"/>
          <w:szCs w:val="28"/>
        </w:rPr>
      </w:pPr>
      <w:r>
        <w:rPr>
          <w:rFonts w:ascii="Arial" w:eastAsia="Arial" w:hAnsi="Arial" w:cs="Arial"/>
          <w:b/>
          <w:color w:val="000000"/>
          <w:sz w:val="28"/>
          <w:szCs w:val="28"/>
        </w:rPr>
        <w:t>Tříděný komunální odpad</w:t>
      </w:r>
    </w:p>
    <w:p w14:paraId="78FD958E" w14:textId="77777777" w:rsidR="002E7B6C" w:rsidRDefault="002E7B6C">
      <w:pPr>
        <w:pBdr>
          <w:top w:val="nil"/>
          <w:left w:val="nil"/>
          <w:bottom w:val="nil"/>
          <w:right w:val="nil"/>
          <w:between w:val="nil"/>
        </w:pBdr>
        <w:jc w:val="center"/>
        <w:rPr>
          <w:rFonts w:ascii="Arial" w:eastAsia="Arial" w:hAnsi="Arial" w:cs="Arial"/>
          <w:color w:val="000000"/>
          <w:sz w:val="22"/>
          <w:szCs w:val="22"/>
        </w:rPr>
      </w:pPr>
    </w:p>
    <w:p w14:paraId="335F69FD" w14:textId="77777777" w:rsidR="002E7B6C" w:rsidRDefault="003F3E5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b/>
          <w:color w:val="000000"/>
          <w:sz w:val="22"/>
          <w:szCs w:val="22"/>
        </w:rPr>
        <w:t>I.</w:t>
      </w:r>
    </w:p>
    <w:p w14:paraId="6E71DD0F" w14:textId="77777777" w:rsidR="002E7B6C" w:rsidRDefault="003F3E55">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color w:val="000000"/>
          <w:sz w:val="22"/>
          <w:szCs w:val="22"/>
        </w:rPr>
      </w:pPr>
      <w:r>
        <w:rPr>
          <w:rFonts w:ascii="Arial" w:eastAsia="Arial" w:hAnsi="Arial" w:cs="Arial"/>
          <w:b/>
          <w:color w:val="000000"/>
          <w:sz w:val="22"/>
          <w:szCs w:val="22"/>
        </w:rPr>
        <w:t>Stanovení rozsahu a způsobu poskytované služby</w:t>
      </w:r>
    </w:p>
    <w:p w14:paraId="213A7399" w14:textId="77777777" w:rsidR="002E7B6C" w:rsidRDefault="002E7B6C">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color w:val="000000"/>
          <w:sz w:val="22"/>
          <w:szCs w:val="22"/>
        </w:rPr>
      </w:pPr>
    </w:p>
    <w:p w14:paraId="5A7184D4"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2"/>
          <w:szCs w:val="22"/>
        </w:rPr>
      </w:pPr>
      <w:r>
        <w:rPr>
          <w:rFonts w:ascii="Arial" w:eastAsia="Arial" w:hAnsi="Arial" w:cs="Arial"/>
          <w:color w:val="000000"/>
          <w:sz w:val="22"/>
          <w:szCs w:val="22"/>
        </w:rPr>
        <w:t>1.</w:t>
      </w:r>
      <w:r>
        <w:rPr>
          <w:rFonts w:ascii="Arial" w:eastAsia="Arial" w:hAnsi="Arial" w:cs="Arial"/>
          <w:color w:val="000000"/>
          <w:sz w:val="22"/>
          <w:szCs w:val="22"/>
        </w:rPr>
        <w:tab/>
        <w:t>Obsah sjednané služby tvoří následující dohodnuté činnosti:</w:t>
      </w:r>
    </w:p>
    <w:p w14:paraId="5001A776"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2"/>
          <w:szCs w:val="22"/>
        </w:rPr>
      </w:pPr>
    </w:p>
    <w:p w14:paraId="6A8229AA" w14:textId="77777777" w:rsidR="002E7B6C" w:rsidRDefault="003F3E55">
      <w:pPr>
        <w:numPr>
          <w:ilvl w:val="0"/>
          <w:numId w:val="2"/>
        </w:numPr>
        <w:pBdr>
          <w:top w:val="nil"/>
          <w:left w:val="nil"/>
          <w:bottom w:val="nil"/>
          <w:right w:val="nil"/>
          <w:between w:val="nil"/>
        </w:pBd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Pr>
          <w:rFonts w:ascii="Arial" w:eastAsia="Arial" w:hAnsi="Arial" w:cs="Arial"/>
          <w:color w:val="000000"/>
          <w:sz w:val="22"/>
          <w:szCs w:val="22"/>
        </w:rPr>
        <w:t>sběr a svoz tříděného komunálního odpadu – plastů a nápojových kartonů (kat. č. 20 01 39), papíru (kat. č. 20 01 01), bílého a barevného skla (kat. č. 20 01 02, dále „sklo“), biologicky rozložitelného komunálního odpadu (kat. č. 20 02 01 dále jen „BRKO“), použitého textilu (kat. č. 20 01 11, dále jen „textil“), jedlých olejů a tuků (kat. č. 20 01 25, dále jen „oleje a tuky“), kovů (kat. č. 20 01 40) z veřejných stanovišť ve stanoveném režimu 52 svozů za rok, tj. 1 x týdně v sídlištní zástavbě,</w:t>
      </w:r>
    </w:p>
    <w:p w14:paraId="1E8549C2" w14:textId="77777777" w:rsidR="002E7B6C" w:rsidRDefault="003F3E55" w:rsidP="00073AAE">
      <w:pPr>
        <w:numPr>
          <w:ilvl w:val="0"/>
          <w:numId w:val="2"/>
        </w:numPr>
        <w:pBdr>
          <w:top w:val="nil"/>
          <w:left w:val="nil"/>
          <w:bottom w:val="nil"/>
          <w:right w:val="nil"/>
          <w:between w:val="nil"/>
        </w:pBdr>
        <w:tabs>
          <w:tab w:val="left" w:pos="578"/>
          <w:tab w:val="left" w:pos="993"/>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Pr>
          <w:rFonts w:ascii="Arial" w:eastAsia="Arial" w:hAnsi="Arial" w:cs="Arial"/>
          <w:color w:val="000000"/>
          <w:sz w:val="22"/>
          <w:szCs w:val="22"/>
        </w:rPr>
        <w:t xml:space="preserve">sběr a svoz tříděného komunálního odpadu – plastů a nápojových kartonů (kat. č. 20 01 39), papíru (kat. č. 20 01 01), biologicky rozložitelného komunálního odpadu (kat. č. 20 02 01) v rámci </w:t>
      </w:r>
      <w:proofErr w:type="spellStart"/>
      <w:r>
        <w:rPr>
          <w:rFonts w:ascii="Arial" w:eastAsia="Arial" w:hAnsi="Arial" w:cs="Arial"/>
          <w:color w:val="000000"/>
          <w:sz w:val="22"/>
          <w:szCs w:val="22"/>
        </w:rPr>
        <w:t>door</w:t>
      </w:r>
      <w:proofErr w:type="spellEnd"/>
      <w:r>
        <w:rPr>
          <w:rFonts w:ascii="Arial" w:eastAsia="Arial" w:hAnsi="Arial" w:cs="Arial"/>
          <w:color w:val="000000"/>
          <w:sz w:val="22"/>
          <w:szCs w:val="22"/>
        </w:rPr>
        <w:t>-to-</w:t>
      </w:r>
      <w:proofErr w:type="spellStart"/>
      <w:r>
        <w:rPr>
          <w:rFonts w:ascii="Arial" w:eastAsia="Arial" w:hAnsi="Arial" w:cs="Arial"/>
          <w:color w:val="000000"/>
          <w:sz w:val="22"/>
          <w:szCs w:val="22"/>
        </w:rPr>
        <w:t>door</w:t>
      </w:r>
      <w:proofErr w:type="spellEnd"/>
      <w:r>
        <w:rPr>
          <w:rFonts w:ascii="Arial" w:eastAsia="Arial" w:hAnsi="Arial" w:cs="Arial"/>
          <w:color w:val="000000"/>
          <w:sz w:val="22"/>
          <w:szCs w:val="22"/>
        </w:rPr>
        <w:t xml:space="preserve"> systému u rodinných domů ve stanoveném režimu duben až listopad 1x</w:t>
      </w:r>
      <w:r>
        <w:rPr>
          <w:rFonts w:ascii="Arial" w:eastAsia="Arial" w:hAnsi="Arial" w:cs="Arial"/>
          <w:sz w:val="22"/>
          <w:szCs w:val="22"/>
        </w:rPr>
        <w:t xml:space="preserve"> 14 dnů</w:t>
      </w:r>
      <w:r>
        <w:rPr>
          <w:rFonts w:ascii="Arial" w:eastAsia="Arial" w:hAnsi="Arial" w:cs="Arial"/>
          <w:color w:val="000000"/>
          <w:sz w:val="22"/>
          <w:szCs w:val="22"/>
        </w:rPr>
        <w:t xml:space="preserve"> a prosinec až březen 1x měsíčně u BRKO a 13 svozů za rok u plastů vč. nápojových kartonů a u papíru, tj. </w:t>
      </w:r>
      <w:r>
        <w:rPr>
          <w:rFonts w:ascii="Arial" w:eastAsia="Arial" w:hAnsi="Arial" w:cs="Arial"/>
          <w:sz w:val="22"/>
          <w:szCs w:val="22"/>
        </w:rPr>
        <w:t>1x měsíčně</w:t>
      </w:r>
      <w:r>
        <w:rPr>
          <w:rFonts w:ascii="Arial" w:eastAsia="Arial" w:hAnsi="Arial" w:cs="Arial"/>
          <w:color w:val="000000"/>
          <w:sz w:val="22"/>
          <w:szCs w:val="22"/>
        </w:rPr>
        <w:t xml:space="preserve">, </w:t>
      </w:r>
    </w:p>
    <w:p w14:paraId="7A6B59A3" w14:textId="77777777" w:rsidR="002E7B6C" w:rsidRDefault="003F3E55">
      <w:pPr>
        <w:numPr>
          <w:ilvl w:val="0"/>
          <w:numId w:val="2"/>
        </w:num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Pr>
          <w:rFonts w:ascii="Arial" w:eastAsia="Arial" w:hAnsi="Arial" w:cs="Arial"/>
          <w:color w:val="000000"/>
          <w:sz w:val="22"/>
          <w:szCs w:val="22"/>
        </w:rPr>
        <w:t>manipulace se sběrnými nádobami do vzdálenosti 5 m,</w:t>
      </w:r>
    </w:p>
    <w:p w14:paraId="035AAAF8" w14:textId="77777777" w:rsidR="002E7B6C" w:rsidRDefault="003F3E55">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dodání nálepek k označení sběrných nádob na tříděný komunální odpad,</w:t>
      </w:r>
    </w:p>
    <w:p w14:paraId="485D9D2C" w14:textId="77777777" w:rsidR="002E7B6C" w:rsidRDefault="003F3E55">
      <w:pPr>
        <w:numPr>
          <w:ilvl w:val="0"/>
          <w:numId w:val="2"/>
        </w:num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Pr>
          <w:rFonts w:ascii="Arial" w:eastAsia="Arial" w:hAnsi="Arial" w:cs="Arial"/>
          <w:color w:val="000000"/>
          <w:sz w:val="22"/>
          <w:szCs w:val="22"/>
        </w:rPr>
        <w:t>předání tříděného komunálního odpadu k materiálovému využití včetně vykládky u jeho zpracovatele.</w:t>
      </w:r>
    </w:p>
    <w:p w14:paraId="4A6379D9"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65466401"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2.</w:t>
      </w:r>
      <w:r>
        <w:rPr>
          <w:rFonts w:ascii="Arial" w:eastAsia="Arial" w:hAnsi="Arial" w:cs="Arial"/>
          <w:color w:val="000000"/>
          <w:sz w:val="22"/>
          <w:szCs w:val="22"/>
        </w:rPr>
        <w:tab/>
        <w:t xml:space="preserve">Pro ukládání tříděného komunálního odpadu budou přednostně využívány typizované sběrné nádoby o objemu 120 l, 240 l a kontejnery o objemu 1100 l, 1500 l a 3350 l.  </w:t>
      </w:r>
    </w:p>
    <w:p w14:paraId="587762F6"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771C6715" w14:textId="77777777" w:rsidR="002E7B6C" w:rsidRDefault="003F3E55" w:rsidP="00A22655">
      <w:pPr>
        <w:spacing w:after="120"/>
        <w:jc w:val="both"/>
        <w:rPr>
          <w:rFonts w:ascii="Arial" w:eastAsia="Arial" w:hAnsi="Arial" w:cs="Arial"/>
          <w:sz w:val="22"/>
          <w:szCs w:val="22"/>
        </w:rPr>
      </w:pPr>
      <w:r>
        <w:rPr>
          <w:rFonts w:ascii="Arial" w:eastAsia="Arial" w:hAnsi="Arial" w:cs="Arial"/>
          <w:b/>
          <w:i/>
          <w:sz w:val="22"/>
          <w:szCs w:val="22"/>
        </w:rPr>
        <w:t xml:space="preserve">Předpokládaný rozsah plnění (bez </w:t>
      </w:r>
      <w:proofErr w:type="spellStart"/>
      <w:r>
        <w:rPr>
          <w:rFonts w:ascii="Arial" w:eastAsia="Arial" w:hAnsi="Arial" w:cs="Arial"/>
          <w:b/>
          <w:i/>
          <w:sz w:val="22"/>
          <w:szCs w:val="22"/>
        </w:rPr>
        <w:t>door</w:t>
      </w:r>
      <w:proofErr w:type="spellEnd"/>
      <w:r>
        <w:rPr>
          <w:rFonts w:ascii="Arial" w:eastAsia="Arial" w:hAnsi="Arial" w:cs="Arial"/>
          <w:b/>
          <w:i/>
          <w:sz w:val="22"/>
          <w:szCs w:val="22"/>
        </w:rPr>
        <w:t>-to-</w:t>
      </w:r>
      <w:proofErr w:type="spellStart"/>
      <w:r>
        <w:rPr>
          <w:rFonts w:ascii="Arial" w:eastAsia="Arial" w:hAnsi="Arial" w:cs="Arial"/>
          <w:b/>
          <w:i/>
          <w:sz w:val="22"/>
          <w:szCs w:val="22"/>
        </w:rPr>
        <w:t>door</w:t>
      </w:r>
      <w:proofErr w:type="spellEnd"/>
      <w:r>
        <w:rPr>
          <w:rFonts w:ascii="Arial" w:eastAsia="Arial" w:hAnsi="Arial" w:cs="Arial"/>
          <w:b/>
          <w:i/>
          <w:sz w:val="22"/>
          <w:szCs w:val="22"/>
        </w:rPr>
        <w:t xml:space="preserve"> systému):</w:t>
      </w:r>
    </w:p>
    <w:tbl>
      <w:tblPr>
        <w:tblStyle w:val="a0"/>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9"/>
        <w:gridCol w:w="2081"/>
        <w:gridCol w:w="2231"/>
        <w:gridCol w:w="2541"/>
      </w:tblGrid>
      <w:tr w:rsidR="002E7B6C" w14:paraId="10C65F02" w14:textId="77777777" w:rsidTr="00A22655">
        <w:trPr>
          <w:jc w:val="center"/>
        </w:trPr>
        <w:tc>
          <w:tcPr>
            <w:tcW w:w="2209" w:type="dxa"/>
            <w:shd w:val="clear" w:color="auto" w:fill="auto"/>
            <w:vAlign w:val="center"/>
          </w:tcPr>
          <w:p w14:paraId="17AB8A2A"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Druh TŘÍDĚNÝ KOMUNÁLNÍ ODPAD</w:t>
            </w:r>
          </w:p>
        </w:tc>
        <w:tc>
          <w:tcPr>
            <w:tcW w:w="2081" w:type="dxa"/>
            <w:shd w:val="clear" w:color="auto" w:fill="auto"/>
            <w:vAlign w:val="center"/>
          </w:tcPr>
          <w:p w14:paraId="2AE038B6"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 xml:space="preserve">Předpokládaný </w:t>
            </w:r>
          </w:p>
          <w:p w14:paraId="76EC7495"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počet nádob (ks)</w:t>
            </w:r>
          </w:p>
        </w:tc>
        <w:tc>
          <w:tcPr>
            <w:tcW w:w="2231" w:type="dxa"/>
            <w:shd w:val="clear" w:color="auto" w:fill="auto"/>
            <w:vAlign w:val="center"/>
          </w:tcPr>
          <w:p w14:paraId="6841697E"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 xml:space="preserve">Předpokládané </w:t>
            </w:r>
          </w:p>
          <w:p w14:paraId="3079003C"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množství (t/rok)</w:t>
            </w:r>
          </w:p>
        </w:tc>
        <w:tc>
          <w:tcPr>
            <w:tcW w:w="2541" w:type="dxa"/>
            <w:tcBorders>
              <w:bottom w:val="single" w:sz="4" w:space="0" w:color="auto"/>
            </w:tcBorders>
            <w:shd w:val="clear" w:color="auto" w:fill="auto"/>
            <w:vAlign w:val="center"/>
          </w:tcPr>
          <w:p w14:paraId="2D0AC222" w14:textId="77777777" w:rsidR="002E7B6C" w:rsidRDefault="003F3E55">
            <w:pPr>
              <w:spacing w:after="120"/>
              <w:jc w:val="center"/>
              <w:rPr>
                <w:rFonts w:ascii="Arial" w:eastAsia="Arial" w:hAnsi="Arial" w:cs="Arial"/>
                <w:b/>
                <w:sz w:val="22"/>
                <w:szCs w:val="22"/>
              </w:rPr>
            </w:pPr>
            <w:r>
              <w:rPr>
                <w:rFonts w:ascii="Arial" w:eastAsia="Arial" w:hAnsi="Arial" w:cs="Arial"/>
                <w:b/>
                <w:sz w:val="22"/>
                <w:szCs w:val="22"/>
              </w:rPr>
              <w:t>Předpokládané množství za dobu plnění veřejné zakázky (t)</w:t>
            </w:r>
          </w:p>
        </w:tc>
      </w:tr>
      <w:tr w:rsidR="00A22655" w14:paraId="50821AD5" w14:textId="77777777" w:rsidTr="00A22655">
        <w:trPr>
          <w:jc w:val="center"/>
        </w:trPr>
        <w:tc>
          <w:tcPr>
            <w:tcW w:w="2209" w:type="dxa"/>
            <w:vAlign w:val="center"/>
          </w:tcPr>
          <w:p w14:paraId="25377C3C"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BRKO</w:t>
            </w:r>
          </w:p>
        </w:tc>
        <w:tc>
          <w:tcPr>
            <w:tcW w:w="2081" w:type="dxa"/>
            <w:shd w:val="clear" w:color="auto" w:fill="auto"/>
            <w:vAlign w:val="center"/>
          </w:tcPr>
          <w:p w14:paraId="5CA5DF97" w14:textId="3C01BFC3"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46,00</w:t>
            </w:r>
            <w:r>
              <w:rPr>
                <w:rFonts w:ascii="Arial" w:eastAsia="Arial" w:hAnsi="Arial" w:cs="Arial"/>
                <w:sz w:val="22"/>
                <w:szCs w:val="22"/>
                <w:vertAlign w:val="superscript"/>
              </w:rPr>
              <w:footnoteReference w:id="1"/>
            </w:r>
          </w:p>
        </w:tc>
        <w:tc>
          <w:tcPr>
            <w:tcW w:w="2231" w:type="dxa"/>
            <w:tcBorders>
              <w:right w:val="single" w:sz="4" w:space="0" w:color="auto"/>
            </w:tcBorders>
            <w:shd w:val="clear" w:color="auto" w:fill="auto"/>
            <w:vAlign w:val="center"/>
          </w:tcPr>
          <w:p w14:paraId="627F7CDE" w14:textId="2BF1410C"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259,00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4FE648C2" w14:textId="414757B4"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1 554,00</w:t>
            </w:r>
          </w:p>
        </w:tc>
      </w:tr>
      <w:tr w:rsidR="00A22655" w14:paraId="6782FCDA" w14:textId="77777777" w:rsidTr="00A22655">
        <w:trPr>
          <w:jc w:val="center"/>
        </w:trPr>
        <w:tc>
          <w:tcPr>
            <w:tcW w:w="2209" w:type="dxa"/>
            <w:shd w:val="clear" w:color="auto" w:fill="auto"/>
            <w:vAlign w:val="center"/>
          </w:tcPr>
          <w:p w14:paraId="2A4C4DD9"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plasty a nápojové kartony</w:t>
            </w:r>
          </w:p>
        </w:tc>
        <w:tc>
          <w:tcPr>
            <w:tcW w:w="2081" w:type="dxa"/>
            <w:shd w:val="clear" w:color="auto" w:fill="auto"/>
            <w:vAlign w:val="center"/>
          </w:tcPr>
          <w:p w14:paraId="4C5349F5" w14:textId="5E797425"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241,00</w:t>
            </w:r>
          </w:p>
        </w:tc>
        <w:tc>
          <w:tcPr>
            <w:tcW w:w="2231" w:type="dxa"/>
            <w:tcBorders>
              <w:right w:val="single" w:sz="4" w:space="0" w:color="auto"/>
            </w:tcBorders>
            <w:shd w:val="clear" w:color="auto" w:fill="auto"/>
            <w:vAlign w:val="center"/>
          </w:tcPr>
          <w:p w14:paraId="32492AD3" w14:textId="224B41A3"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147,00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3BFCACEE" w14:textId="37823A94"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882,00</w:t>
            </w:r>
          </w:p>
        </w:tc>
      </w:tr>
      <w:tr w:rsidR="00A22655" w14:paraId="24D1C2AC" w14:textId="77777777" w:rsidTr="00A22655">
        <w:trPr>
          <w:jc w:val="center"/>
        </w:trPr>
        <w:tc>
          <w:tcPr>
            <w:tcW w:w="2209" w:type="dxa"/>
            <w:shd w:val="clear" w:color="auto" w:fill="auto"/>
            <w:vAlign w:val="center"/>
          </w:tcPr>
          <w:p w14:paraId="272B2198"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papír</w:t>
            </w:r>
          </w:p>
        </w:tc>
        <w:tc>
          <w:tcPr>
            <w:tcW w:w="2081" w:type="dxa"/>
            <w:shd w:val="clear" w:color="auto" w:fill="auto"/>
            <w:vAlign w:val="center"/>
          </w:tcPr>
          <w:p w14:paraId="3CB49B5C" w14:textId="7FB063B6"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218,00</w:t>
            </w:r>
          </w:p>
        </w:tc>
        <w:tc>
          <w:tcPr>
            <w:tcW w:w="2231" w:type="dxa"/>
            <w:tcBorders>
              <w:right w:val="single" w:sz="4" w:space="0" w:color="auto"/>
            </w:tcBorders>
            <w:shd w:val="clear" w:color="auto" w:fill="auto"/>
            <w:vAlign w:val="center"/>
          </w:tcPr>
          <w:p w14:paraId="77B8FBC6" w14:textId="669FA3FB"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219,00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0E9FD597" w14:textId="2B4971DA"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1 314,00</w:t>
            </w:r>
          </w:p>
        </w:tc>
      </w:tr>
      <w:tr w:rsidR="00A22655" w14:paraId="208BC60B" w14:textId="77777777" w:rsidTr="00A22655">
        <w:trPr>
          <w:jc w:val="center"/>
        </w:trPr>
        <w:tc>
          <w:tcPr>
            <w:tcW w:w="2209" w:type="dxa"/>
            <w:shd w:val="clear" w:color="auto" w:fill="auto"/>
            <w:vAlign w:val="center"/>
          </w:tcPr>
          <w:p w14:paraId="1E25F888"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sklo</w:t>
            </w:r>
          </w:p>
        </w:tc>
        <w:tc>
          <w:tcPr>
            <w:tcW w:w="2081" w:type="dxa"/>
            <w:shd w:val="clear" w:color="auto" w:fill="auto"/>
            <w:vAlign w:val="center"/>
          </w:tcPr>
          <w:p w14:paraId="31BC4E27" w14:textId="38E91136"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112,00</w:t>
            </w:r>
          </w:p>
        </w:tc>
        <w:tc>
          <w:tcPr>
            <w:tcW w:w="2231" w:type="dxa"/>
            <w:tcBorders>
              <w:right w:val="single" w:sz="4" w:space="0" w:color="auto"/>
            </w:tcBorders>
            <w:shd w:val="clear" w:color="auto" w:fill="auto"/>
            <w:vAlign w:val="center"/>
          </w:tcPr>
          <w:p w14:paraId="200EF25B" w14:textId="5EAEB06A"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288,00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78744BC5" w14:textId="3D167B5A"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1 728,00</w:t>
            </w:r>
          </w:p>
        </w:tc>
      </w:tr>
      <w:tr w:rsidR="00A22655" w14:paraId="34F23CCB" w14:textId="77777777" w:rsidTr="00A22655">
        <w:trPr>
          <w:jc w:val="center"/>
        </w:trPr>
        <w:tc>
          <w:tcPr>
            <w:tcW w:w="2209" w:type="dxa"/>
            <w:shd w:val="clear" w:color="auto" w:fill="auto"/>
            <w:vAlign w:val="center"/>
          </w:tcPr>
          <w:p w14:paraId="2D39690B"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textil</w:t>
            </w:r>
          </w:p>
        </w:tc>
        <w:tc>
          <w:tcPr>
            <w:tcW w:w="2081" w:type="dxa"/>
            <w:shd w:val="clear" w:color="auto" w:fill="auto"/>
            <w:vAlign w:val="center"/>
          </w:tcPr>
          <w:p w14:paraId="0E7F84B2" w14:textId="47E5E372"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1,00</w:t>
            </w:r>
          </w:p>
        </w:tc>
        <w:tc>
          <w:tcPr>
            <w:tcW w:w="2231" w:type="dxa"/>
            <w:tcBorders>
              <w:right w:val="single" w:sz="4" w:space="0" w:color="auto"/>
            </w:tcBorders>
            <w:shd w:val="clear" w:color="auto" w:fill="auto"/>
            <w:vAlign w:val="center"/>
          </w:tcPr>
          <w:p w14:paraId="4D124EE5" w14:textId="7CBAAF96"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526983CD" w14:textId="304E118E"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6,00</w:t>
            </w:r>
          </w:p>
        </w:tc>
      </w:tr>
      <w:tr w:rsidR="00A22655" w14:paraId="241EE7BE" w14:textId="77777777" w:rsidTr="00A22655">
        <w:trPr>
          <w:jc w:val="center"/>
        </w:trPr>
        <w:tc>
          <w:tcPr>
            <w:tcW w:w="2209" w:type="dxa"/>
            <w:shd w:val="clear" w:color="auto" w:fill="auto"/>
            <w:vAlign w:val="center"/>
          </w:tcPr>
          <w:p w14:paraId="4C13121C"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kuchyňské oleje a tuky</w:t>
            </w:r>
          </w:p>
        </w:tc>
        <w:tc>
          <w:tcPr>
            <w:tcW w:w="2081" w:type="dxa"/>
            <w:shd w:val="clear" w:color="auto" w:fill="auto"/>
            <w:vAlign w:val="center"/>
          </w:tcPr>
          <w:p w14:paraId="12AA9843" w14:textId="4F98B258"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24,00</w:t>
            </w:r>
          </w:p>
        </w:tc>
        <w:tc>
          <w:tcPr>
            <w:tcW w:w="2231" w:type="dxa"/>
            <w:tcBorders>
              <w:right w:val="single" w:sz="4" w:space="0" w:color="auto"/>
            </w:tcBorders>
            <w:shd w:val="clear" w:color="auto" w:fill="auto"/>
            <w:vAlign w:val="center"/>
          </w:tcPr>
          <w:p w14:paraId="359FFEE2" w14:textId="573DC289"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1,50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5601F4F3" w14:textId="45A92420"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9,00</w:t>
            </w:r>
          </w:p>
        </w:tc>
      </w:tr>
      <w:tr w:rsidR="00A22655" w14:paraId="78D3923E" w14:textId="77777777" w:rsidTr="00A22655">
        <w:trPr>
          <w:jc w:val="center"/>
        </w:trPr>
        <w:tc>
          <w:tcPr>
            <w:tcW w:w="2209" w:type="dxa"/>
            <w:shd w:val="clear" w:color="auto" w:fill="auto"/>
          </w:tcPr>
          <w:p w14:paraId="50AD3937" w14:textId="77777777" w:rsidR="00A22655" w:rsidRDefault="00A22655" w:rsidP="00A22655">
            <w:pPr>
              <w:spacing w:after="120"/>
              <w:jc w:val="both"/>
              <w:rPr>
                <w:rFonts w:ascii="Arial" w:eastAsia="Arial" w:hAnsi="Arial" w:cs="Arial"/>
                <w:sz w:val="22"/>
                <w:szCs w:val="22"/>
              </w:rPr>
            </w:pPr>
            <w:r>
              <w:rPr>
                <w:rFonts w:ascii="Arial" w:eastAsia="Arial" w:hAnsi="Arial" w:cs="Arial"/>
                <w:sz w:val="22"/>
                <w:szCs w:val="22"/>
              </w:rPr>
              <w:t>kovy</w:t>
            </w:r>
          </w:p>
        </w:tc>
        <w:tc>
          <w:tcPr>
            <w:tcW w:w="2081" w:type="dxa"/>
            <w:shd w:val="clear" w:color="auto" w:fill="auto"/>
            <w:vAlign w:val="center"/>
          </w:tcPr>
          <w:p w14:paraId="2078E0FA" w14:textId="02F3FF70"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19,00</w:t>
            </w:r>
          </w:p>
        </w:tc>
        <w:tc>
          <w:tcPr>
            <w:tcW w:w="2231" w:type="dxa"/>
            <w:tcBorders>
              <w:right w:val="single" w:sz="4" w:space="0" w:color="auto"/>
            </w:tcBorders>
            <w:shd w:val="clear" w:color="auto" w:fill="auto"/>
          </w:tcPr>
          <w:p w14:paraId="585BA32C" w14:textId="35173AF6" w:rsidR="00A22655" w:rsidRDefault="00A22655" w:rsidP="00A22655">
            <w:pPr>
              <w:spacing w:after="120"/>
              <w:jc w:val="center"/>
              <w:rPr>
                <w:rFonts w:ascii="Arial" w:eastAsia="Arial" w:hAnsi="Arial" w:cs="Arial"/>
                <w:sz w:val="22"/>
                <w:szCs w:val="22"/>
              </w:rPr>
            </w:pPr>
            <w:r>
              <w:rPr>
                <w:rFonts w:ascii="Arial" w:eastAsia="Arial" w:hAnsi="Arial" w:cs="Arial"/>
                <w:sz w:val="22"/>
                <w:szCs w:val="22"/>
              </w:rPr>
              <w:t>76,00</w:t>
            </w:r>
          </w:p>
        </w:tc>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4E8FAC58" w14:textId="735F7040" w:rsidR="00A22655" w:rsidRPr="00A22655" w:rsidRDefault="00A22655" w:rsidP="00A22655">
            <w:pPr>
              <w:spacing w:after="120"/>
              <w:jc w:val="center"/>
              <w:rPr>
                <w:rFonts w:ascii="Arial" w:eastAsia="Arial" w:hAnsi="Arial" w:cs="Arial"/>
                <w:sz w:val="22"/>
                <w:szCs w:val="22"/>
              </w:rPr>
            </w:pPr>
            <w:r w:rsidRPr="00A22655">
              <w:rPr>
                <w:rFonts w:ascii="Arial" w:hAnsi="Arial" w:cs="Arial"/>
                <w:color w:val="000000"/>
                <w:sz w:val="22"/>
                <w:szCs w:val="22"/>
              </w:rPr>
              <w:t>456,00</w:t>
            </w:r>
          </w:p>
        </w:tc>
      </w:tr>
    </w:tbl>
    <w:p w14:paraId="679E5267"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3FCC1940"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3.</w:t>
      </w:r>
      <w:r>
        <w:rPr>
          <w:rFonts w:ascii="Arial" w:eastAsia="Arial" w:hAnsi="Arial" w:cs="Arial"/>
          <w:color w:val="000000"/>
          <w:sz w:val="22"/>
          <w:szCs w:val="22"/>
        </w:rPr>
        <w:tab/>
        <w:t xml:space="preserve">Jako doplňkovou službu lze využívat svoz tříděného komunálního odpadu v jednotných typizovaných </w:t>
      </w:r>
      <w:r>
        <w:rPr>
          <w:rFonts w:ascii="Arial" w:eastAsia="Arial" w:hAnsi="Arial" w:cs="Arial"/>
          <w:sz w:val="22"/>
          <w:szCs w:val="22"/>
        </w:rPr>
        <w:t>plastových</w:t>
      </w:r>
      <w:r>
        <w:rPr>
          <w:rFonts w:ascii="Arial" w:eastAsia="Arial" w:hAnsi="Arial" w:cs="Arial"/>
          <w:color w:val="000000"/>
          <w:sz w:val="22"/>
          <w:szCs w:val="22"/>
        </w:rPr>
        <w:t xml:space="preserve"> pytlích, které budou v evidenci zhotovitele.  </w:t>
      </w:r>
    </w:p>
    <w:p w14:paraId="13F1924E" w14:textId="77777777" w:rsidR="002E7B6C" w:rsidRDefault="002E7B6C">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rPr>
          <w:rFonts w:ascii="Arial" w:eastAsia="Arial" w:hAnsi="Arial" w:cs="Arial"/>
          <w:b/>
          <w:color w:val="000000"/>
          <w:sz w:val="22"/>
          <w:szCs w:val="22"/>
        </w:rPr>
      </w:pPr>
    </w:p>
    <w:p w14:paraId="35867CF3" w14:textId="77777777" w:rsidR="002E7B6C" w:rsidRDefault="002E7B6C">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rPr>
          <w:rFonts w:ascii="Arial" w:eastAsia="Arial" w:hAnsi="Arial" w:cs="Arial"/>
          <w:b/>
          <w:color w:val="000000"/>
          <w:sz w:val="22"/>
          <w:szCs w:val="22"/>
        </w:rPr>
      </w:pPr>
    </w:p>
    <w:p w14:paraId="03743C1D" w14:textId="77777777" w:rsidR="002E7B6C" w:rsidRDefault="002E7B6C">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rPr>
          <w:rFonts w:ascii="Arial" w:eastAsia="Arial" w:hAnsi="Arial" w:cs="Arial"/>
          <w:b/>
          <w:color w:val="000000"/>
          <w:sz w:val="22"/>
          <w:szCs w:val="22"/>
        </w:rPr>
      </w:pPr>
    </w:p>
    <w:p w14:paraId="1D32E31A" w14:textId="77777777" w:rsidR="002E7B6C" w:rsidRDefault="002E7B6C">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rPr>
          <w:rFonts w:ascii="Arial" w:eastAsia="Arial" w:hAnsi="Arial" w:cs="Arial"/>
          <w:b/>
          <w:color w:val="000000"/>
          <w:sz w:val="22"/>
          <w:szCs w:val="22"/>
        </w:rPr>
      </w:pPr>
    </w:p>
    <w:p w14:paraId="443F299F" w14:textId="77777777" w:rsidR="002E7B6C" w:rsidRDefault="003F3E55">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jc w:val="center"/>
        <w:rPr>
          <w:rFonts w:ascii="Arial" w:eastAsia="Arial" w:hAnsi="Arial" w:cs="Arial"/>
          <w:color w:val="000000"/>
          <w:sz w:val="22"/>
          <w:szCs w:val="22"/>
        </w:rPr>
      </w:pPr>
      <w:r>
        <w:rPr>
          <w:rFonts w:ascii="Arial" w:eastAsia="Arial" w:hAnsi="Arial" w:cs="Arial"/>
          <w:b/>
          <w:color w:val="000000"/>
          <w:sz w:val="22"/>
          <w:szCs w:val="22"/>
        </w:rPr>
        <w:t>II.</w:t>
      </w:r>
    </w:p>
    <w:p w14:paraId="462C960C" w14:textId="77777777" w:rsidR="002E7B6C" w:rsidRDefault="003F3E5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b/>
          <w:color w:val="000000"/>
          <w:sz w:val="22"/>
          <w:szCs w:val="22"/>
        </w:rPr>
        <w:t>Podmínky zajištění služby</w:t>
      </w:r>
    </w:p>
    <w:p w14:paraId="378529AB" w14:textId="77777777" w:rsidR="002E7B6C" w:rsidRDefault="002E7B6C">
      <w:pPr>
        <w:pBdr>
          <w:top w:val="nil"/>
          <w:left w:val="nil"/>
          <w:bottom w:val="nil"/>
          <w:right w:val="nil"/>
          <w:between w:val="nil"/>
        </w:pBdr>
        <w:ind w:left="396" w:hanging="396"/>
        <w:rPr>
          <w:rFonts w:ascii="Arial" w:eastAsia="Arial" w:hAnsi="Arial" w:cs="Arial"/>
          <w:color w:val="000000"/>
          <w:sz w:val="22"/>
          <w:szCs w:val="22"/>
        </w:rPr>
      </w:pPr>
    </w:p>
    <w:p w14:paraId="0A9C60C3" w14:textId="77777777" w:rsidR="002E7B6C" w:rsidRDefault="003F3E55">
      <w:pPr>
        <w:numPr>
          <w:ilvl w:val="0"/>
          <w:numId w:val="1"/>
        </w:numPr>
        <w:pBdr>
          <w:top w:val="nil"/>
          <w:left w:val="nil"/>
          <w:bottom w:val="nil"/>
          <w:right w:val="nil"/>
          <w:between w:val="nil"/>
        </w:pBdr>
        <w:tabs>
          <w:tab w:val="left" w:pos="5040"/>
          <w:tab w:val="left" w:pos="5760"/>
          <w:tab w:val="left" w:pos="6480"/>
          <w:tab w:val="left" w:pos="7200"/>
          <w:tab w:val="left" w:pos="7920"/>
          <w:tab w:val="left" w:pos="8640"/>
        </w:tabs>
        <w:ind w:left="567" w:hanging="567"/>
        <w:jc w:val="both"/>
        <w:rPr>
          <w:rFonts w:ascii="Arial" w:eastAsia="Arial" w:hAnsi="Arial" w:cs="Arial"/>
          <w:color w:val="000000"/>
          <w:sz w:val="22"/>
          <w:szCs w:val="22"/>
        </w:rPr>
      </w:pPr>
      <w:r>
        <w:rPr>
          <w:rFonts w:ascii="Arial" w:eastAsia="Arial" w:hAnsi="Arial" w:cs="Arial"/>
          <w:color w:val="000000"/>
          <w:sz w:val="22"/>
          <w:szCs w:val="22"/>
        </w:rPr>
        <w:t xml:space="preserve">Svoz tříděného odpadu z veřejných stanovišť ve výše uvedených sběrných nádobách bude prováděn v četnosti a z nádob podle </w:t>
      </w:r>
      <w:r>
        <w:rPr>
          <w:rFonts w:ascii="Arial" w:eastAsia="Arial" w:hAnsi="Arial" w:cs="Arial"/>
          <w:sz w:val="22"/>
          <w:szCs w:val="22"/>
        </w:rPr>
        <w:t>přílohy č. 5 smlouvy o poskytování služeb v oblasti nakládání s odpady „Svozový kalendář a stanoviště separovaného odpadu“</w:t>
      </w:r>
      <w:r>
        <w:rPr>
          <w:rFonts w:ascii="Arial" w:eastAsia="Arial" w:hAnsi="Arial" w:cs="Arial"/>
          <w:color w:val="000000"/>
          <w:sz w:val="22"/>
          <w:szCs w:val="22"/>
        </w:rPr>
        <w:t>, a to ve dnech pondělí až pátek podle seznamu ulic.</w:t>
      </w:r>
    </w:p>
    <w:p w14:paraId="2C38D1F0"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945"/>
        <w:jc w:val="both"/>
        <w:rPr>
          <w:rFonts w:ascii="Arial" w:eastAsia="Arial" w:hAnsi="Arial" w:cs="Arial"/>
          <w:color w:val="000000"/>
          <w:sz w:val="22"/>
          <w:szCs w:val="22"/>
        </w:rPr>
      </w:pPr>
    </w:p>
    <w:p w14:paraId="1ADAA767" w14:textId="77777777" w:rsidR="002E7B6C" w:rsidRDefault="003F3E55">
      <w:pPr>
        <w:numPr>
          <w:ilvl w:val="0"/>
          <w:numId w:val="1"/>
        </w:num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491"/>
        <w:jc w:val="both"/>
        <w:rPr>
          <w:rFonts w:ascii="Arial" w:eastAsia="Arial" w:hAnsi="Arial" w:cs="Arial"/>
          <w:color w:val="000000"/>
          <w:sz w:val="22"/>
          <w:szCs w:val="22"/>
        </w:rPr>
      </w:pPr>
      <w:r>
        <w:rPr>
          <w:rFonts w:ascii="Arial" w:eastAsia="Arial" w:hAnsi="Arial" w:cs="Arial"/>
          <w:color w:val="000000"/>
          <w:sz w:val="22"/>
          <w:szCs w:val="22"/>
        </w:rPr>
        <w:t>Poskytovatel je oprávněn změnit svozový den, pokud si to vyžádají provozní okolnosti. Konkrétní svozové dny jsou stanoveny harmonogramem svozu tříděného komunálního odpadu, který poskytovatel předloží objednateli k odsouhlasení.</w:t>
      </w:r>
    </w:p>
    <w:p w14:paraId="5154CB45"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3D070064" w14:textId="77777777" w:rsidR="002E7B6C" w:rsidRDefault="003F3E55">
      <w:pPr>
        <w:pBdr>
          <w:top w:val="nil"/>
          <w:left w:val="nil"/>
          <w:bottom w:val="nil"/>
          <w:right w:val="nil"/>
          <w:between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eastAsia="Arial" w:hAnsi="Arial" w:cs="Arial"/>
          <w:color w:val="000000"/>
          <w:sz w:val="22"/>
          <w:szCs w:val="22"/>
        </w:rPr>
      </w:pPr>
      <w:r>
        <w:rPr>
          <w:rFonts w:ascii="Arial" w:eastAsia="Arial" w:hAnsi="Arial" w:cs="Arial"/>
          <w:color w:val="000000"/>
          <w:sz w:val="22"/>
          <w:szCs w:val="22"/>
        </w:rPr>
        <w:t xml:space="preserve">3.     </w:t>
      </w:r>
      <w:r>
        <w:rPr>
          <w:rFonts w:ascii="Arial" w:eastAsia="Arial" w:hAnsi="Arial" w:cs="Arial"/>
          <w:color w:val="000000"/>
          <w:sz w:val="22"/>
          <w:szCs w:val="22"/>
        </w:rPr>
        <w:tab/>
        <w:t xml:space="preserve">Poskytovatel se zavazuje v případě nedodržení stanoveného svozového termínu v důsledku nenadálých situací zajistit náhradní svoz do 24 h od stanoveného termínu svozu. O </w:t>
      </w:r>
      <w:r>
        <w:rPr>
          <w:rFonts w:ascii="Arial" w:eastAsia="Arial" w:hAnsi="Arial" w:cs="Arial"/>
          <w:sz w:val="22"/>
          <w:szCs w:val="22"/>
        </w:rPr>
        <w:t>takové</w:t>
      </w:r>
      <w:r>
        <w:rPr>
          <w:rFonts w:ascii="Arial" w:eastAsia="Arial" w:hAnsi="Arial" w:cs="Arial"/>
          <w:color w:val="000000"/>
          <w:sz w:val="22"/>
          <w:szCs w:val="22"/>
        </w:rPr>
        <w:t xml:space="preserve"> situaci bude neprodleně informovat objednatele. </w:t>
      </w:r>
    </w:p>
    <w:p w14:paraId="50A6CC80" w14:textId="77777777" w:rsidR="002E7B6C" w:rsidRDefault="002E7B6C">
      <w:pPr>
        <w:pBdr>
          <w:top w:val="nil"/>
          <w:left w:val="nil"/>
          <w:bottom w:val="nil"/>
          <w:right w:val="nil"/>
          <w:between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p>
    <w:p w14:paraId="2A0031FA" w14:textId="77777777" w:rsidR="002E7B6C" w:rsidRDefault="003F3E55">
      <w:pPr>
        <w:pBdr>
          <w:top w:val="nil"/>
          <w:left w:val="nil"/>
          <w:bottom w:val="nil"/>
          <w:right w:val="nil"/>
          <w:between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eastAsia="Arial" w:hAnsi="Arial" w:cs="Arial"/>
          <w:color w:val="000000"/>
          <w:sz w:val="22"/>
          <w:szCs w:val="22"/>
        </w:rPr>
      </w:pPr>
      <w:r>
        <w:rPr>
          <w:rFonts w:ascii="Arial" w:eastAsia="Arial" w:hAnsi="Arial" w:cs="Arial"/>
          <w:color w:val="000000"/>
          <w:sz w:val="22"/>
          <w:szCs w:val="22"/>
        </w:rPr>
        <w:t xml:space="preserve">4. </w:t>
      </w:r>
      <w:r>
        <w:rPr>
          <w:rFonts w:ascii="Arial" w:eastAsia="Arial" w:hAnsi="Arial" w:cs="Arial"/>
          <w:color w:val="000000"/>
          <w:sz w:val="22"/>
          <w:szCs w:val="22"/>
        </w:rPr>
        <w:tab/>
        <w:t>Poskytovatel se zavazuje vyprazdňovat celý obsah sběrných nádob s výjimkou případů, zaviněných producentem odpadu, tj. např. zamrzlého nebo příliš upěchovaného odpadu.</w:t>
      </w:r>
    </w:p>
    <w:p w14:paraId="648A17BD"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20BD9849"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5.</w:t>
      </w:r>
      <w:r>
        <w:rPr>
          <w:rFonts w:ascii="Arial" w:eastAsia="Arial" w:hAnsi="Arial" w:cs="Arial"/>
          <w:color w:val="000000"/>
          <w:sz w:val="22"/>
          <w:szCs w:val="22"/>
        </w:rPr>
        <w:tab/>
        <w:t>Poskytovatel zajistí vyprázdnění všech sběrných nádob od fyzických osob, které budou v daný svozový den přistavené na dobře viditelném místě a budou přístupné svozovému vozidlu.</w:t>
      </w:r>
    </w:p>
    <w:p w14:paraId="2487EE34"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p>
    <w:p w14:paraId="0DCA17E3"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eastAsia="Arial" w:hAnsi="Arial" w:cs="Arial"/>
          <w:color w:val="000000"/>
          <w:sz w:val="22"/>
          <w:szCs w:val="22"/>
        </w:rPr>
      </w:pPr>
      <w:r>
        <w:rPr>
          <w:rFonts w:ascii="Arial" w:eastAsia="Arial" w:hAnsi="Arial" w:cs="Arial"/>
          <w:color w:val="000000"/>
          <w:sz w:val="22"/>
          <w:szCs w:val="22"/>
        </w:rPr>
        <w:t>6.</w:t>
      </w:r>
      <w:r>
        <w:rPr>
          <w:rFonts w:ascii="Arial" w:eastAsia="Arial" w:hAnsi="Arial" w:cs="Arial"/>
          <w:color w:val="000000"/>
          <w:sz w:val="22"/>
          <w:szCs w:val="22"/>
        </w:rPr>
        <w:tab/>
        <w:t>Objednatel je povinen v době svozu zajistit dostatečný přístup svozovému vozidlu a jeho posádce k sběrnému místu, umožňující snadnou a bezpečnou manipulaci se sběrnými nádobami, bez narušení plynulosti poskytované služby, a to včetně pravidelného vyhrnování sněhu v zimních měsících před sběrným místem.</w:t>
      </w:r>
    </w:p>
    <w:p w14:paraId="1D030E86"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1950E0DB"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7.</w:t>
      </w:r>
      <w:r>
        <w:rPr>
          <w:rFonts w:ascii="Arial" w:eastAsia="Arial" w:hAnsi="Arial" w:cs="Arial"/>
          <w:color w:val="000000"/>
          <w:sz w:val="22"/>
          <w:szCs w:val="22"/>
        </w:rPr>
        <w:tab/>
        <w:t>Objednatel odpovídá za to, že odpad ve sběrných nádobách bude zahrnovat pouze druh odpadu uvedený v čl. II, části 2 smlouvy a že odpovídá zařazení dle kategorizace v katalogu odpadů. V případě, že bude zjištěn nesoulad mezi specifikací a skutečnou dodávkou odpadu, je poskytovatel oprávněn takový odpad nepřevzít až do zjednání nápravy.</w:t>
      </w:r>
    </w:p>
    <w:p w14:paraId="4ECEF18C"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p>
    <w:p w14:paraId="74156657"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8.</w:t>
      </w:r>
      <w:r>
        <w:rPr>
          <w:rFonts w:ascii="Arial" w:eastAsia="Arial" w:hAnsi="Arial" w:cs="Arial"/>
          <w:color w:val="000000"/>
          <w:sz w:val="22"/>
          <w:szCs w:val="22"/>
        </w:rPr>
        <w:tab/>
        <w:t>Stane-li se stanoviště odpadových nádob po určitou dobu nepřístupné z důvodů povolené stavby nebo klimatických podmínek, dohodne objednatel se zainteresovanými stranami na nezbytně nutnou dobu náhradní stanoviště, případně změní typ odpadových nádob.</w:t>
      </w:r>
    </w:p>
    <w:p w14:paraId="740419AE"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p>
    <w:p w14:paraId="5C5A0EA3"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jc w:val="both"/>
        <w:rPr>
          <w:rFonts w:ascii="Arial" w:eastAsia="Arial" w:hAnsi="Arial" w:cs="Arial"/>
          <w:color w:val="000000"/>
          <w:sz w:val="22"/>
          <w:szCs w:val="22"/>
        </w:rPr>
      </w:pPr>
      <w:r>
        <w:rPr>
          <w:rFonts w:ascii="Arial" w:eastAsia="Arial" w:hAnsi="Arial" w:cs="Arial"/>
          <w:color w:val="000000"/>
          <w:sz w:val="22"/>
          <w:szCs w:val="22"/>
        </w:rPr>
        <w:t>9.</w:t>
      </w:r>
      <w:r>
        <w:rPr>
          <w:rFonts w:ascii="Arial" w:eastAsia="Arial" w:hAnsi="Arial" w:cs="Arial"/>
          <w:color w:val="000000"/>
          <w:sz w:val="22"/>
          <w:szCs w:val="22"/>
        </w:rPr>
        <w:tab/>
        <w:t xml:space="preserve">Objednatel odpovídá za to, že nebude docházet k přeplňování a přetěžování odpadových nádob. Pro hmotnosti zcela naplněných odpadových nádob platí následující </w:t>
      </w:r>
      <w:proofErr w:type="gramStart"/>
      <w:r>
        <w:rPr>
          <w:rFonts w:ascii="Arial" w:eastAsia="Arial" w:hAnsi="Arial" w:cs="Arial"/>
          <w:color w:val="000000"/>
          <w:sz w:val="22"/>
          <w:szCs w:val="22"/>
        </w:rPr>
        <w:t>limity:  sběrná</w:t>
      </w:r>
      <w:proofErr w:type="gramEnd"/>
      <w:r>
        <w:rPr>
          <w:rFonts w:ascii="Arial" w:eastAsia="Arial" w:hAnsi="Arial" w:cs="Arial"/>
          <w:color w:val="000000"/>
          <w:sz w:val="22"/>
          <w:szCs w:val="22"/>
        </w:rPr>
        <w:t xml:space="preserve"> nádoba 120 l … 65 kg, sběrná nádoba 240 l … 120 kg, kontejner 1100 l ...340 kg, kontejner 1500 l … 450 kg, kontejner 3350 l … 340 kg. V případě nadměrného přetížení není technicky možné odpad vyprázdnit.</w:t>
      </w:r>
    </w:p>
    <w:p w14:paraId="05F068BF" w14:textId="77777777" w:rsidR="002E7B6C" w:rsidRDefault="002E7B6C">
      <w:pPr>
        <w:pBdr>
          <w:top w:val="nil"/>
          <w:left w:val="nil"/>
          <w:bottom w:val="nil"/>
          <w:right w:val="nil"/>
          <w:between w:val="nil"/>
        </w:pBdr>
        <w:tabs>
          <w:tab w:val="left" w:pos="578"/>
          <w:tab w:val="left" w:pos="90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EE0000"/>
          <w:sz w:val="22"/>
          <w:szCs w:val="22"/>
        </w:rPr>
      </w:pPr>
    </w:p>
    <w:p w14:paraId="72EF1F95"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Pr>
          <w:rFonts w:ascii="Arial" w:eastAsia="Arial" w:hAnsi="Arial" w:cs="Arial"/>
          <w:color w:val="000000"/>
          <w:sz w:val="22"/>
          <w:szCs w:val="22"/>
        </w:rPr>
        <w:t xml:space="preserve">10.    </w:t>
      </w:r>
      <w:r>
        <w:rPr>
          <w:rFonts w:ascii="Arial" w:eastAsia="Arial" w:hAnsi="Arial" w:cs="Arial"/>
          <w:color w:val="000000"/>
          <w:sz w:val="22"/>
          <w:szCs w:val="22"/>
        </w:rPr>
        <w:tab/>
        <w:t xml:space="preserve">Objednatel zajistí zejména v zimních měsících dostatečnou údržbu komunikací na                      </w:t>
      </w:r>
      <w:r>
        <w:rPr>
          <w:rFonts w:ascii="Arial" w:eastAsia="Arial" w:hAnsi="Arial" w:cs="Arial"/>
          <w:color w:val="000000"/>
          <w:sz w:val="22"/>
          <w:szCs w:val="22"/>
        </w:rPr>
        <w:tab/>
        <w:t>území města, která umožní bezpečný průjezd svozové techniky.</w:t>
      </w:r>
    </w:p>
    <w:p w14:paraId="5A9B79CF"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p>
    <w:p w14:paraId="199CDC95"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bookmarkStart w:id="0" w:name="_heading=h.p2guax2f9qrr" w:colFirst="0" w:colLast="0"/>
      <w:bookmarkEnd w:id="0"/>
      <w:r>
        <w:rPr>
          <w:rFonts w:ascii="Arial" w:eastAsia="Arial" w:hAnsi="Arial" w:cs="Arial"/>
          <w:color w:val="000000"/>
          <w:sz w:val="22"/>
          <w:szCs w:val="22"/>
        </w:rPr>
        <w:t xml:space="preserve">11.   </w:t>
      </w:r>
      <w:r>
        <w:rPr>
          <w:rFonts w:ascii="Arial" w:eastAsia="Arial" w:hAnsi="Arial" w:cs="Arial"/>
          <w:color w:val="000000"/>
          <w:sz w:val="22"/>
          <w:szCs w:val="22"/>
        </w:rPr>
        <w:tab/>
        <w:t xml:space="preserve">Poskytovatel zajistí úklid nečistot vzniklých </w:t>
      </w:r>
      <w:r>
        <w:rPr>
          <w:rFonts w:ascii="Arial" w:eastAsia="Arial" w:hAnsi="Arial" w:cs="Arial"/>
          <w:sz w:val="22"/>
          <w:szCs w:val="22"/>
        </w:rPr>
        <w:t>při</w:t>
      </w:r>
      <w:r>
        <w:rPr>
          <w:rFonts w:ascii="Arial" w:eastAsia="Arial" w:hAnsi="Arial" w:cs="Arial"/>
          <w:color w:val="000000"/>
          <w:sz w:val="22"/>
          <w:szCs w:val="22"/>
        </w:rPr>
        <w:t xml:space="preserve"> manipulaci s odpadovými nádobami.</w:t>
      </w:r>
    </w:p>
    <w:p w14:paraId="31C70690"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000000"/>
          <w:sz w:val="22"/>
          <w:szCs w:val="22"/>
        </w:rPr>
      </w:pPr>
    </w:p>
    <w:p w14:paraId="3B539243" w14:textId="77777777" w:rsidR="002E7B6C" w:rsidRDefault="003F3E5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eastAsia="Arial" w:hAnsi="Arial" w:cs="Arial"/>
          <w:color w:val="000000"/>
          <w:sz w:val="22"/>
          <w:szCs w:val="22"/>
        </w:rPr>
      </w:pPr>
      <w:r>
        <w:rPr>
          <w:rFonts w:ascii="Arial" w:eastAsia="Arial" w:hAnsi="Arial" w:cs="Arial"/>
          <w:color w:val="000000"/>
          <w:sz w:val="22"/>
          <w:szCs w:val="22"/>
        </w:rPr>
        <w:t xml:space="preserve">12. </w:t>
      </w:r>
      <w:r>
        <w:rPr>
          <w:rFonts w:ascii="Arial" w:eastAsia="Arial" w:hAnsi="Arial" w:cs="Arial"/>
          <w:color w:val="000000"/>
          <w:sz w:val="22"/>
          <w:szCs w:val="22"/>
        </w:rPr>
        <w:tab/>
        <w:t>Poskytovatel zajistí nejméně 1x ročně čištění sběrných nádob na všech veřejných stanovištích z jejich vnější strany.</w:t>
      </w:r>
    </w:p>
    <w:p w14:paraId="101EE6EA" w14:textId="77777777" w:rsidR="002E7B6C" w:rsidRDefault="002E7B6C">
      <w:pPr>
        <w:pBdr>
          <w:top w:val="nil"/>
          <w:left w:val="nil"/>
          <w:bottom w:val="nil"/>
          <w:right w:val="nil"/>
          <w:between w:val="nil"/>
        </w:pBdr>
        <w:ind w:left="396" w:hanging="396"/>
        <w:rPr>
          <w:rFonts w:ascii="Arial" w:eastAsia="Arial" w:hAnsi="Arial" w:cs="Arial"/>
          <w:color w:val="000000"/>
          <w:sz w:val="22"/>
          <w:szCs w:val="22"/>
        </w:rPr>
      </w:pPr>
    </w:p>
    <w:p w14:paraId="0C8D58EE" w14:textId="77777777" w:rsidR="002E7B6C" w:rsidRDefault="002E7B6C">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2"/>
          <w:szCs w:val="22"/>
        </w:rPr>
      </w:pPr>
    </w:p>
    <w:p w14:paraId="25996599" w14:textId="77777777" w:rsidR="002E7B6C" w:rsidRDefault="002E7B6C">
      <w:pPr>
        <w:rPr>
          <w:rFonts w:ascii="Arial" w:eastAsia="Arial" w:hAnsi="Arial" w:cs="Arial"/>
          <w:sz w:val="22"/>
          <w:szCs w:val="22"/>
        </w:rPr>
      </w:pPr>
    </w:p>
    <w:sectPr w:rsidR="002E7B6C">
      <w:footerReference w:type="even" r:id="rId8"/>
      <w:footerReference w:type="default" r:id="rId9"/>
      <w:pgSz w:w="12240" w:h="15840"/>
      <w:pgMar w:top="709" w:right="1417" w:bottom="851" w:left="1417" w:header="708" w:footer="2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C7169" w14:textId="77777777" w:rsidR="00600725" w:rsidRDefault="00600725">
      <w:r>
        <w:separator/>
      </w:r>
    </w:p>
  </w:endnote>
  <w:endnote w:type="continuationSeparator" w:id="0">
    <w:p w14:paraId="5D8E41E7" w14:textId="77777777" w:rsidR="00600725" w:rsidRDefault="00600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BA39" w14:textId="77777777" w:rsidR="002E7B6C" w:rsidRDefault="003F3E55">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sidR="00600725">
      <w:rPr>
        <w:color w:val="000000"/>
      </w:rPr>
      <w:fldChar w:fldCharType="separate"/>
    </w:r>
    <w:r>
      <w:rPr>
        <w:color w:val="000000"/>
      </w:rPr>
      <w:fldChar w:fldCharType="end"/>
    </w:r>
  </w:p>
  <w:p w14:paraId="6C86048E" w14:textId="77777777" w:rsidR="002E7B6C" w:rsidRDefault="002E7B6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962B" w14:textId="77777777" w:rsidR="002E7B6C" w:rsidRDefault="003F3E55">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073AAE">
      <w:rPr>
        <w:noProof/>
        <w:color w:val="000000"/>
      </w:rPr>
      <w:t>1</w:t>
    </w:r>
    <w:r>
      <w:rPr>
        <w:color w:val="000000"/>
      </w:rPr>
      <w:fldChar w:fldCharType="end"/>
    </w:r>
  </w:p>
  <w:p w14:paraId="281AB5FB" w14:textId="77777777" w:rsidR="002E7B6C" w:rsidRDefault="002E7B6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94F29" w14:textId="77777777" w:rsidR="00600725" w:rsidRDefault="00600725">
      <w:r>
        <w:separator/>
      </w:r>
    </w:p>
  </w:footnote>
  <w:footnote w:type="continuationSeparator" w:id="0">
    <w:p w14:paraId="4E29F6FF" w14:textId="77777777" w:rsidR="00600725" w:rsidRDefault="00600725">
      <w:r>
        <w:continuationSeparator/>
      </w:r>
    </w:p>
  </w:footnote>
  <w:footnote w:id="1">
    <w:p w14:paraId="46D7E62F" w14:textId="77777777" w:rsidR="00A22655" w:rsidRDefault="00A22655">
      <w:pPr>
        <w:pBdr>
          <w:top w:val="nil"/>
          <w:left w:val="nil"/>
          <w:bottom w:val="nil"/>
          <w:right w:val="nil"/>
          <w:between w:val="nil"/>
        </w:pBdr>
        <w:rPr>
          <w:rFonts w:ascii="Calibri" w:eastAsia="Calibri" w:hAnsi="Calibri" w:cs="Calibri"/>
          <w:color w:val="000000"/>
          <w:sz w:val="22"/>
          <w:szCs w:val="22"/>
        </w:rPr>
      </w:pPr>
      <w:r>
        <w:rPr>
          <w:vertAlign w:val="superscript"/>
        </w:rPr>
        <w:footnoteRef/>
      </w:r>
      <w:r>
        <w:rPr>
          <w:rFonts w:ascii="Calibri" w:eastAsia="Calibri" w:hAnsi="Calibri" w:cs="Calibri"/>
          <w:color w:val="000000"/>
          <w:sz w:val="22"/>
          <w:szCs w:val="22"/>
        </w:rPr>
        <w:t xml:space="preserve"> Zahrnuje 41 ks nádob o objemu 1100 l a 5 nádob o objemu 240 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344ACD"/>
    <w:multiLevelType w:val="multilevel"/>
    <w:tmpl w:val="AEB4D076"/>
    <w:lvl w:ilvl="0">
      <w:start w:val="10"/>
      <w:numFmt w:val="bullet"/>
      <w:lvlText w:val="-"/>
      <w:lvlJc w:val="left"/>
      <w:pPr>
        <w:ind w:left="900" w:hanging="360"/>
      </w:pPr>
      <w:rPr>
        <w:rFonts w:ascii="Arial" w:eastAsia="Arial" w:hAnsi="Arial" w:cs="Arial"/>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788712CB"/>
    <w:multiLevelType w:val="multilevel"/>
    <w:tmpl w:val="602A8626"/>
    <w:lvl w:ilvl="0">
      <w:start w:val="1"/>
      <w:numFmt w:val="decimal"/>
      <w:lvlText w:val="%1."/>
      <w:lvlJc w:val="left"/>
      <w:pPr>
        <w:ind w:left="945" w:hanging="58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B6C"/>
    <w:rsid w:val="00073AAE"/>
    <w:rsid w:val="002E7B6C"/>
    <w:rsid w:val="003F3E55"/>
    <w:rsid w:val="00600725"/>
    <w:rsid w:val="00A226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B6C9D"/>
  <w15:docId w15:val="{D0BEFB00-D3BA-45E3-A28C-5858BB61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paragraph" w:customStyle="1" w:styleId="dka">
    <w:name w:val="Řádka"/>
    <w:rsid w:val="00224525"/>
    <w:pPr>
      <w:autoSpaceDE w:val="0"/>
      <w:autoSpaceDN w:val="0"/>
      <w:adjustRightInd w:val="0"/>
    </w:pPr>
    <w:rPr>
      <w:color w:val="000000"/>
      <w:sz w:val="20"/>
    </w:rPr>
  </w:style>
  <w:style w:type="paragraph" w:styleId="Zkladntext">
    <w:name w:val="Body Text"/>
    <w:link w:val="ZkladntextChar"/>
    <w:rsid w:val="00224525"/>
    <w:pPr>
      <w:autoSpaceDE w:val="0"/>
      <w:autoSpaceDN w:val="0"/>
      <w:adjustRightInd w:val="0"/>
    </w:pPr>
    <w:rPr>
      <w:color w:val="000000"/>
      <w:sz w:val="20"/>
    </w:rPr>
  </w:style>
  <w:style w:type="character" w:customStyle="1" w:styleId="ZkladntextChar">
    <w:name w:val="Základní text Char"/>
    <w:basedOn w:val="Standardnpsmoodstavce"/>
    <w:link w:val="Zkladntext"/>
    <w:rsid w:val="00224525"/>
    <w:rPr>
      <w:rFonts w:ascii="Times New Roman" w:eastAsia="Times New Roman" w:hAnsi="Times New Roman" w:cs="Times New Roman"/>
      <w:color w:val="000000"/>
      <w:sz w:val="20"/>
      <w:szCs w:val="24"/>
      <w:lang w:eastAsia="cs-CZ"/>
    </w:rPr>
  </w:style>
  <w:style w:type="paragraph" w:styleId="Zpat">
    <w:name w:val="footer"/>
    <w:link w:val="ZpatChar"/>
    <w:rsid w:val="00224525"/>
    <w:pPr>
      <w:tabs>
        <w:tab w:val="center" w:pos="4536"/>
        <w:tab w:val="right" w:pos="9072"/>
      </w:tabs>
    </w:pPr>
  </w:style>
  <w:style w:type="character" w:customStyle="1" w:styleId="ZpatChar">
    <w:name w:val="Zápatí Char"/>
    <w:basedOn w:val="Standardnpsmoodstavce"/>
    <w:link w:val="Zpat"/>
    <w:rsid w:val="00224525"/>
    <w:rPr>
      <w:rFonts w:ascii="Times New Roman" w:eastAsia="Times New Roman" w:hAnsi="Times New Roman" w:cs="Times New Roman"/>
      <w:sz w:val="24"/>
      <w:szCs w:val="24"/>
      <w:lang w:eastAsia="cs-CZ"/>
    </w:rPr>
  </w:style>
  <w:style w:type="character" w:styleId="slostrnky">
    <w:name w:val="page number"/>
    <w:basedOn w:val="Standardnpsmoodstavce"/>
    <w:rsid w:val="00224525"/>
  </w:style>
  <w:style w:type="character" w:customStyle="1" w:styleId="TextpoznpodarouChar">
    <w:name w:val="Text pozn. pod čarou Char"/>
    <w:link w:val="Textpoznpodarou"/>
    <w:uiPriority w:val="99"/>
    <w:qFormat/>
    <w:rsid w:val="00224525"/>
  </w:style>
  <w:style w:type="paragraph" w:styleId="Textpoznpodarou">
    <w:name w:val="footnote text"/>
    <w:link w:val="TextpoznpodarouChar"/>
    <w:uiPriority w:val="99"/>
    <w:unhideWhenUsed/>
    <w:rsid w:val="00224525"/>
    <w:pPr>
      <w:suppressAutoHyphens/>
    </w:pPr>
    <w:rPr>
      <w:rFonts w:asciiTheme="minorHAnsi" w:eastAsiaTheme="minorHAnsi" w:hAnsiTheme="minorHAnsi" w:cstheme="minorBidi"/>
      <w:sz w:val="22"/>
      <w:szCs w:val="22"/>
      <w:lang w:eastAsia="en-US"/>
    </w:rPr>
  </w:style>
  <w:style w:type="character" w:customStyle="1" w:styleId="TextpoznpodarouChar1">
    <w:name w:val="Text pozn. pod čarou Char1"/>
    <w:basedOn w:val="Standardnpsmoodstavce"/>
    <w:uiPriority w:val="99"/>
    <w:semiHidden/>
    <w:rsid w:val="00224525"/>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224525"/>
    <w:rPr>
      <w:vertAlign w:val="superscript"/>
    </w:rPr>
  </w:style>
  <w:style w:type="paragraph" w:styleId="Textbubliny">
    <w:name w:val="Balloon Text"/>
    <w:link w:val="TextbublinyChar"/>
    <w:uiPriority w:val="99"/>
    <w:semiHidden/>
    <w:unhideWhenUsed/>
    <w:rsid w:val="00B1777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7777"/>
    <w:rPr>
      <w:rFonts w:ascii="Segoe UI" w:eastAsia="Times New Roman" w:hAnsi="Segoe UI" w:cs="Segoe UI"/>
      <w:sz w:val="18"/>
      <w:szCs w:val="18"/>
      <w:lang w:eastAsia="cs-CZ"/>
    </w:rPr>
  </w:style>
  <w:style w:type="paragraph" w:styleId="Odstavecseseznamem">
    <w:name w:val="List Paragraph"/>
    <w:uiPriority w:val="34"/>
    <w:qFormat/>
    <w:rsid w:val="00B17777"/>
    <w:pPr>
      <w:ind w:left="720"/>
      <w:contextualSpacing/>
    </w:pPr>
  </w:style>
  <w:style w:type="table" w:customStyle="1" w:styleId="a">
    <w:basedOn w:val="TableNormal0"/>
    <w:tblPr>
      <w:tblStyleRowBandSize w:val="1"/>
      <w:tblStyleColBandSize w:val="1"/>
      <w:tblCellMar>
        <w:left w:w="115" w:type="dxa"/>
        <w:right w:w="115"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3jjrlGWcKfNBfUf9OPe6fIopYg==">CgMxLjAyDmgucDJndWF4MmY5cXJyOAByITE4NEVXdEhXeDhkSDJ5RWo1NWdELXpNOFBFOURuXzJTXw==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707</Words>
  <Characters>4173</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Kasperová Vendula, Ing.</dc:creator>
  <cp:lastModifiedBy>Karel Rejent - ICT plus, s.r.o.</cp:lastModifiedBy>
  <cp:revision>3</cp:revision>
  <dcterms:created xsi:type="dcterms:W3CDTF">2025-07-21T17:41:00Z</dcterms:created>
  <dcterms:modified xsi:type="dcterms:W3CDTF">2025-09-25T12:59:00Z</dcterms:modified>
</cp:coreProperties>
</file>